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10" w:line="360" w:lineRule="auto"/>
        <w:rPr/>
      </w:pPr>
      <w:r w:rsidDel="00000000" w:rsidR="00000000" w:rsidRPr="00000000">
        <w:rPr>
          <w:rtl w:val="0"/>
        </w:rPr>
      </w:r>
    </w:p>
    <w:p w:rsidR="00000000" w:rsidDel="00000000" w:rsidP="00000000" w:rsidRDefault="00000000" w:rsidRPr="00000000" w14:paraId="00000002">
      <w:pPr>
        <w:spacing w:after="105" w:before="315" w:line="360" w:lineRule="auto"/>
        <w:ind w:left="-30" w:firstLine="0"/>
        <w:jc w:val="left"/>
        <w:rPr>
          <w:rFonts w:ascii="Roboto" w:cs="Roboto" w:eastAsia="Roboto" w:hAnsi="Roboto"/>
          <w:sz w:val="22"/>
          <w:szCs w:val="22"/>
        </w:rPr>
      </w:pPr>
      <w:r w:rsidDel="00000000" w:rsidR="00000000" w:rsidRPr="00000000">
        <w:rPr>
          <w:rFonts w:ascii="Roboto" w:cs="Roboto" w:eastAsia="Roboto" w:hAnsi="Roboto"/>
          <w:b w:val="1"/>
          <w:color w:val="000000"/>
          <w:sz w:val="22"/>
          <w:szCs w:val="22"/>
          <w:rtl w:val="0"/>
        </w:rPr>
        <w:t xml:space="preserve">Abstract</w:t>
      </w:r>
      <w:r w:rsidDel="00000000" w:rsidR="00000000" w:rsidRPr="00000000">
        <w:rPr>
          <w:rtl w:val="0"/>
        </w:rPr>
      </w:r>
    </w:p>
    <w:p w:rsidR="00000000" w:rsidDel="00000000" w:rsidP="00000000" w:rsidRDefault="00000000" w:rsidRPr="00000000" w14:paraId="00000003">
      <w:pPr>
        <w:spacing w:after="210" w:line="36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This presentation outlines North Macedonia’s national framework for home-based and palliative care, drawing on WHO and European best practices. Aligned with the 2021–2030 health strategy, it uses the WHO “palliative care house” model, focusing on policy, community, research, workforce training, and access to medicines. </w:t>
      </w:r>
      <w:r w:rsidDel="00000000" w:rsidR="00000000" w:rsidRPr="00000000">
        <w:rPr>
          <w:rtl w:val="0"/>
        </w:rPr>
      </w:r>
    </w:p>
    <w:p w:rsidR="00000000" w:rsidDel="00000000" w:rsidP="00000000" w:rsidRDefault="00000000" w:rsidRPr="00000000" w14:paraId="00000004">
      <w:pPr>
        <w:spacing w:after="210" w:line="36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To achieve Universal Health Coverage, palliative care must be integrated into primary and long-term care. Palliative care that is based almost exclusively at the tertiary level cannot meet the rising demand in North Macedonia from an ageing population. Current gaps will be presented, together with a proposed three-tier model of palliative care, integrated vertically and horizontally in the system to meet local needs.</w:t>
      </w:r>
    </w:p>
    <w:p w:rsidR="00000000" w:rsidDel="00000000" w:rsidP="00000000" w:rsidRDefault="00000000" w:rsidRPr="00000000" w14:paraId="00000005">
      <w:pPr>
        <w:spacing w:after="210" w:line="36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Key measures include workforce development led by the Centre of Excellence, prescriber accreditation, a national palliative care dataset, evidence-based standards, and a dedicated budget. The framework also calls for adding palliative care codes to health records, competency-based training at all levels, and national palliative care health literacy campaigns.</w:t>
      </w:r>
    </w:p>
    <w:p w:rsidR="00000000" w:rsidDel="00000000" w:rsidP="00000000" w:rsidRDefault="00000000" w:rsidRPr="00000000" w14:paraId="00000006">
      <w:pPr>
        <w:spacing w:after="210" w:line="360" w:lineRule="auto"/>
        <w:rPr/>
      </w:pPr>
      <w:r w:rsidDel="00000000" w:rsidR="00000000" w:rsidRPr="00000000">
        <w:rPr>
          <w:rtl w:val="0"/>
        </w:rPr>
      </w:r>
    </w:p>
    <w:p w:rsidR="00000000" w:rsidDel="00000000" w:rsidP="00000000" w:rsidRDefault="00000000" w:rsidRPr="00000000" w14:paraId="00000007">
      <w:pPr>
        <w:spacing w:after="210" w:line="360" w:lineRule="auto"/>
        <w:ind w:left="0" w:firstLine="0"/>
        <w:rPr/>
      </w:pPr>
      <w:r w:rsidDel="00000000" w:rsidR="00000000" w:rsidRPr="00000000">
        <w:rPr>
          <w:rtl w:val="0"/>
        </w:rPr>
      </w:r>
    </w:p>
    <w:sectPr>
      <w:pgSz w:h="15840" w:w="12240" w:orient="portrait"/>
      <w:pgMar w:bottom="1365" w:top="1365" w:left="1365" w:right="13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erbatimChar" w:customStyle="1">
    <w:name w:val="Verbatim Char"/>
    <w:basedOn w:val="BodyTextChar"/>
    <w:rPr>
      <w:rFonts w:ascii="Consolas" w:hAnsi="Consolas"/>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jt5z2GeJ6PKVU4vEl/uwUcAtg==">CgMxLjA4AHIhMUg0eFRDV1NVVThfTHBOMElqUFNzMzZoajRfZ1l6S3hl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2025-09-06T10:16:43.301Z</dcterms:created>
  <dc:creator>html-to-docx</dc:creator>
</cp:coreProperties>
</file>