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F7EB0">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both"/>
        <w:textAlignment w:val="auto"/>
        <w:rPr>
          <w:rStyle w:val="13"/>
          <w:rFonts w:hint="default" w:ascii="Arial" w:hAnsi="Arial" w:cs="Arial"/>
          <w:color w:val="000000" w:themeColor="text1"/>
          <w:sz w:val="22"/>
          <w:szCs w:val="22"/>
          <w14:textFill>
            <w14:solidFill>
              <w14:schemeClr w14:val="tx1"/>
            </w14:solidFill>
          </w14:textFill>
        </w:rPr>
      </w:pPr>
      <w:r>
        <w:rPr>
          <w:rStyle w:val="13"/>
          <w:rFonts w:hint="default" w:ascii="Arial" w:hAnsi="Arial" w:cs="Arial"/>
          <w:color w:val="000000" w:themeColor="text1"/>
          <w:sz w:val="22"/>
          <w:szCs w:val="22"/>
          <w14:textFill>
            <w14:solidFill>
              <w14:schemeClr w14:val="tx1"/>
            </w14:solidFill>
          </w14:textFill>
        </w:rPr>
        <w:t>PERCEPTION AND PREPAREDNESS OF NURSING STUDENTS FOR WORKING WITH GERIATRIC PATIENTS IN THE CONTEXT OF PALLIATIVE CARE</w:t>
      </w:r>
    </w:p>
    <w:p w14:paraId="5A3E5DF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both"/>
        <w:textAlignment w:val="auto"/>
        <w:rPr>
          <w:rStyle w:val="13"/>
          <w:rFonts w:hint="default" w:ascii="Arial" w:hAnsi="Arial" w:cs="Arial"/>
          <w:color w:val="000000" w:themeColor="text1"/>
          <w:sz w:val="22"/>
          <w:szCs w:val="22"/>
          <w14:textFill>
            <w14:solidFill>
              <w14:schemeClr w14:val="tx1"/>
            </w14:solidFill>
          </w14:textFill>
        </w:rPr>
      </w:pPr>
    </w:p>
    <w:p w14:paraId="0B819EA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both"/>
        <w:textAlignment w:val="auto"/>
        <w:rPr>
          <w:rStyle w:val="13"/>
          <w:rFonts w:hint="default" w:ascii="Arial" w:hAnsi="Arial" w:cs="Arial"/>
          <w:b w:val="0"/>
          <w:bCs w:val="0"/>
          <w:color w:val="000000" w:themeColor="text1"/>
          <w:sz w:val="22"/>
          <w:szCs w:val="22"/>
          <w:lang w:val="en-US"/>
          <w14:textFill>
            <w14:solidFill>
              <w14:schemeClr w14:val="tx1"/>
            </w14:solidFill>
          </w14:textFill>
        </w:rPr>
      </w:pPr>
    </w:p>
    <w:p w14:paraId="7395CBB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both"/>
        <w:textAlignment w:val="auto"/>
        <w:rPr>
          <w:rStyle w:val="13"/>
          <w:rFonts w:hint="default" w:ascii="Arial" w:hAnsi="Arial" w:cs="Arial"/>
          <w:b w:val="0"/>
          <w:bCs w:val="0"/>
          <w:color w:val="000000" w:themeColor="text1"/>
          <w:sz w:val="22"/>
          <w:szCs w:val="22"/>
          <w:vertAlign w:val="superscript"/>
          <w:lang w:val="en-US"/>
          <w14:textFill>
            <w14:solidFill>
              <w14:schemeClr w14:val="tx1"/>
            </w14:solidFill>
          </w14:textFill>
        </w:rPr>
      </w:pPr>
      <w:r>
        <w:rPr>
          <w:rStyle w:val="13"/>
          <w:rFonts w:hint="default" w:ascii="Arial" w:hAnsi="Arial" w:cs="Arial"/>
          <w:b/>
          <w:bCs/>
          <w:color w:val="000000" w:themeColor="text1"/>
          <w:sz w:val="22"/>
          <w:szCs w:val="22"/>
          <w:lang w:val="en-US"/>
          <w14:textFill>
            <w14:solidFill>
              <w14:schemeClr w14:val="tx1"/>
            </w14:solidFill>
          </w14:textFill>
        </w:rPr>
        <w:t>Gorichanec V</w:t>
      </w:r>
      <w:r>
        <w:rPr>
          <w:rStyle w:val="13"/>
          <w:rFonts w:hint="default" w:ascii="Arial" w:hAnsi="Arial" w:cs="Arial"/>
          <w:b/>
          <w:bCs/>
          <w:color w:val="000000" w:themeColor="text1"/>
          <w:sz w:val="22"/>
          <w:szCs w:val="22"/>
          <w:vertAlign w:val="superscript"/>
          <w:lang w:val="en-US"/>
          <w14:textFill>
            <w14:solidFill>
              <w14:schemeClr w14:val="tx1"/>
            </w14:solidFill>
          </w14:textFill>
        </w:rPr>
        <w:t>1</w:t>
      </w:r>
      <w:r>
        <w:rPr>
          <w:rStyle w:val="13"/>
          <w:rFonts w:hint="default" w:ascii="Arial" w:hAnsi="Arial" w:cs="Arial"/>
          <w:b w:val="0"/>
          <w:bCs w:val="0"/>
          <w:color w:val="000000" w:themeColor="text1"/>
          <w:sz w:val="22"/>
          <w:szCs w:val="22"/>
          <w:lang w:val="en-US"/>
          <w14:textFill>
            <w14:solidFill>
              <w14:schemeClr w14:val="tx1"/>
            </w14:solidFill>
          </w14:textFill>
        </w:rPr>
        <w:t>, Damjanoska Todorovska D</w:t>
      </w:r>
      <w:r>
        <w:rPr>
          <w:rStyle w:val="13"/>
          <w:rFonts w:hint="default" w:ascii="Arial" w:hAnsi="Arial" w:cs="Arial"/>
          <w:b w:val="0"/>
          <w:bCs w:val="0"/>
          <w:color w:val="000000" w:themeColor="text1"/>
          <w:sz w:val="22"/>
          <w:szCs w:val="22"/>
          <w:vertAlign w:val="superscript"/>
          <w:lang w:val="en-US"/>
          <w14:textFill>
            <w14:solidFill>
              <w14:schemeClr w14:val="tx1"/>
            </w14:solidFill>
          </w14:textFill>
        </w:rPr>
        <w:t>1</w:t>
      </w:r>
      <w:r>
        <w:rPr>
          <w:rStyle w:val="13"/>
          <w:rFonts w:hint="default" w:ascii="Arial" w:hAnsi="Arial" w:cs="Arial"/>
          <w:b w:val="0"/>
          <w:bCs w:val="0"/>
          <w:color w:val="000000" w:themeColor="text1"/>
          <w:sz w:val="22"/>
          <w:szCs w:val="22"/>
          <w:lang w:val="en-US"/>
          <w14:textFill>
            <w14:solidFill>
              <w14:schemeClr w14:val="tx1"/>
            </w14:solidFill>
          </w14:textFill>
        </w:rPr>
        <w:t>, Dechovski N</w:t>
      </w:r>
      <w:r>
        <w:rPr>
          <w:rStyle w:val="13"/>
          <w:rFonts w:hint="default" w:ascii="Arial" w:hAnsi="Arial" w:cs="Arial"/>
          <w:b w:val="0"/>
          <w:bCs w:val="0"/>
          <w:color w:val="000000" w:themeColor="text1"/>
          <w:sz w:val="22"/>
          <w:szCs w:val="22"/>
          <w:vertAlign w:val="superscript"/>
          <w:lang w:val="en-US"/>
          <w14:textFill>
            <w14:solidFill>
              <w14:schemeClr w14:val="tx1"/>
            </w14:solidFill>
          </w14:textFill>
        </w:rPr>
        <w:t>1</w:t>
      </w:r>
      <w:r>
        <w:rPr>
          <w:rStyle w:val="13"/>
          <w:rFonts w:hint="default" w:ascii="Arial" w:hAnsi="Arial" w:cs="Arial"/>
          <w:b w:val="0"/>
          <w:bCs w:val="0"/>
          <w:color w:val="000000" w:themeColor="text1"/>
          <w:sz w:val="22"/>
          <w:szCs w:val="22"/>
          <w:lang w:val="en-US"/>
          <w14:textFill>
            <w14:solidFill>
              <w14:schemeClr w14:val="tx1"/>
            </w14:solidFill>
          </w14:textFill>
        </w:rPr>
        <w:t>, Lazareva K</w:t>
      </w:r>
      <w:r>
        <w:rPr>
          <w:rStyle w:val="13"/>
          <w:rFonts w:hint="default" w:ascii="Arial" w:hAnsi="Arial" w:cs="Arial"/>
          <w:b w:val="0"/>
          <w:bCs w:val="0"/>
          <w:color w:val="000000" w:themeColor="text1"/>
          <w:sz w:val="22"/>
          <w:szCs w:val="22"/>
          <w:vertAlign w:val="superscript"/>
          <w:lang w:val="en-US"/>
          <w14:textFill>
            <w14:solidFill>
              <w14:schemeClr w14:val="tx1"/>
            </w14:solidFill>
          </w14:textFill>
        </w:rPr>
        <w:t>1</w:t>
      </w:r>
      <w:bookmarkStart w:id="0" w:name="_GoBack"/>
      <w:bookmarkEnd w:id="0"/>
    </w:p>
    <w:p w14:paraId="1A3EC24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both"/>
        <w:textAlignment w:val="auto"/>
        <w:rPr>
          <w:rStyle w:val="13"/>
          <w:rFonts w:hint="default" w:ascii="Arial" w:hAnsi="Arial" w:cs="Arial"/>
          <w:b w:val="0"/>
          <w:bCs w:val="0"/>
          <w:color w:val="000000" w:themeColor="text1"/>
          <w:sz w:val="22"/>
          <w:szCs w:val="22"/>
          <w:lang w:val="en-US"/>
          <w14:textFill>
            <w14:solidFill>
              <w14:schemeClr w14:val="tx1"/>
            </w14:solidFill>
          </w14:textFill>
        </w:rPr>
      </w:pPr>
      <w:r>
        <w:rPr>
          <w:rStyle w:val="13"/>
          <w:rFonts w:hint="default" w:ascii="Arial" w:hAnsi="Arial" w:cs="Arial"/>
          <w:b w:val="0"/>
          <w:bCs w:val="0"/>
          <w:color w:val="000000" w:themeColor="text1"/>
          <w:sz w:val="22"/>
          <w:szCs w:val="22"/>
          <w:vertAlign w:val="superscript"/>
          <w:lang w:val="en-US"/>
          <w14:textFill>
            <w14:solidFill>
              <w14:schemeClr w14:val="tx1"/>
            </w14:solidFill>
          </w14:textFill>
        </w:rPr>
        <w:t>1</w:t>
      </w:r>
      <w:r>
        <w:rPr>
          <w:rStyle w:val="13"/>
          <w:rFonts w:hint="default" w:ascii="Arial" w:hAnsi="Arial" w:cs="Arial"/>
          <w:b w:val="0"/>
          <w:bCs w:val="0"/>
          <w:color w:val="000000" w:themeColor="text1"/>
          <w:sz w:val="22"/>
          <w:szCs w:val="22"/>
          <w:lang w:val="en-US"/>
          <w14:textFill>
            <w14:solidFill>
              <w14:schemeClr w14:val="tx1"/>
            </w14:solidFill>
          </w14:textFill>
        </w:rPr>
        <w:t>International Balkan University Skopje</w:t>
      </w:r>
    </w:p>
    <w:p w14:paraId="2C503B2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both"/>
        <w:textAlignment w:val="auto"/>
        <w:rPr>
          <w:rStyle w:val="13"/>
          <w:rFonts w:hint="default" w:ascii="Arial" w:hAnsi="Arial" w:cs="Arial"/>
          <w:b/>
          <w:bCs/>
          <w:color w:val="000000" w:themeColor="text1"/>
          <w:sz w:val="22"/>
          <w:szCs w:val="22"/>
          <w:lang w:val="en-US"/>
          <w14:textFill>
            <w14:solidFill>
              <w14:schemeClr w14:val="tx1"/>
            </w14:solidFill>
          </w14:textFill>
        </w:rPr>
      </w:pPr>
    </w:p>
    <w:p w14:paraId="5121AE0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both"/>
        <w:textAlignment w:val="auto"/>
        <w:rPr>
          <w:rStyle w:val="13"/>
          <w:rFonts w:hint="default" w:ascii="Arial" w:hAnsi="Arial" w:cs="Arial"/>
          <w:b/>
          <w:bCs/>
          <w:color w:val="000000" w:themeColor="text1"/>
          <w:sz w:val="22"/>
          <w:szCs w:val="22"/>
          <w:lang w:val="en-US"/>
          <w14:textFill>
            <w14:solidFill>
              <w14:schemeClr w14:val="tx1"/>
            </w14:solidFill>
          </w14:textFill>
        </w:rPr>
      </w:pPr>
      <w:r>
        <w:rPr>
          <w:rStyle w:val="13"/>
          <w:rFonts w:hint="default" w:ascii="Arial" w:hAnsi="Arial" w:cs="Arial"/>
          <w:b/>
          <w:bCs/>
          <w:color w:val="000000" w:themeColor="text1"/>
          <w:sz w:val="22"/>
          <w:szCs w:val="22"/>
          <w:lang w:val="en-US"/>
          <w14:textFill>
            <w14:solidFill>
              <w14:schemeClr w14:val="tx1"/>
            </w14:solidFill>
          </w14:textFill>
        </w:rPr>
        <w:t>Abstract</w:t>
      </w:r>
    </w:p>
    <w:p w14:paraId="0F67DFC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both"/>
        <w:textAlignment w:val="auto"/>
        <w:rPr>
          <w:rStyle w:val="13"/>
          <w:rFonts w:hint="default" w:ascii="Arial" w:hAnsi="Arial" w:cs="Arial"/>
          <w:b/>
          <w:bCs/>
          <w:color w:val="000000" w:themeColor="text1"/>
          <w:sz w:val="22"/>
          <w:szCs w:val="22"/>
          <w14:textFill>
            <w14:solidFill>
              <w14:schemeClr w14:val="tx1"/>
            </w14:solidFill>
          </w14:textFill>
        </w:rPr>
      </w:pPr>
    </w:p>
    <w:p w14:paraId="2EA6BEF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both"/>
        <w:textAlignment w:val="auto"/>
        <w:rPr>
          <w:rFonts w:hint="default" w:ascii="Arial" w:hAnsi="Arial" w:cs="Arial"/>
          <w:b w:val="0"/>
          <w:bCs w:val="0"/>
          <w:color w:val="000000" w:themeColor="text1"/>
          <w:sz w:val="22"/>
          <w:szCs w:val="22"/>
          <w14:textFill>
            <w14:solidFill>
              <w14:schemeClr w14:val="tx1"/>
            </w14:solidFill>
          </w14:textFill>
        </w:rPr>
      </w:pPr>
      <w:r>
        <w:rPr>
          <w:rStyle w:val="13"/>
          <w:rFonts w:hint="default" w:ascii="Arial" w:hAnsi="Arial" w:cs="Arial"/>
          <w:b/>
          <w:bCs/>
          <w:color w:val="000000" w:themeColor="text1"/>
          <w:sz w:val="22"/>
          <w:szCs w:val="22"/>
          <w14:textFill>
            <w14:solidFill>
              <w14:schemeClr w14:val="tx1"/>
            </w14:solidFill>
          </w14:textFill>
        </w:rPr>
        <w:t>Introduction:</w:t>
      </w:r>
      <w:r>
        <w:rPr>
          <w:rStyle w:val="13"/>
          <w:rFonts w:hint="default" w:ascii="Arial" w:hAnsi="Arial" w:cs="Arial"/>
          <w:b/>
          <w:bCs/>
          <w:color w:val="000000" w:themeColor="text1"/>
          <w:sz w:val="22"/>
          <w:szCs w:val="22"/>
          <w:lang w:val="en-US"/>
          <w14:textFill>
            <w14:solidFill>
              <w14:schemeClr w14:val="tx1"/>
            </w14:solidFill>
          </w14:textFill>
        </w:rPr>
        <w:t xml:space="preserve"> </w:t>
      </w:r>
      <w:r>
        <w:rPr>
          <w:rFonts w:hint="default" w:ascii="Arial" w:hAnsi="Arial" w:cs="Arial"/>
          <w:b w:val="0"/>
          <w:bCs w:val="0"/>
          <w:color w:val="000000" w:themeColor="text1"/>
          <w:sz w:val="22"/>
          <w:szCs w:val="22"/>
          <w14:textFill>
            <w14:solidFill>
              <w14:schemeClr w14:val="tx1"/>
            </w14:solidFill>
          </w14:textFill>
        </w:rPr>
        <w:t xml:space="preserve">Population aging represents one of the most significant health and social challenges of modern society. The increasing number of older adults requires health professionals equipped with specific knowledge and competencies in geriatric and palliative care. Nursing students, as future healthcare providers, need to develop both theoretical and practical skills, as well as an </w:t>
      </w:r>
      <w:r>
        <w:rPr>
          <w:rFonts w:hint="default" w:ascii="Arial" w:hAnsi="Arial" w:eastAsia="SimSun" w:cs="Arial"/>
          <w:b w:val="0"/>
          <w:bCs w:val="0"/>
          <w:color w:val="000000" w:themeColor="text1"/>
          <w:sz w:val="22"/>
          <w:szCs w:val="22"/>
          <w14:textFill>
            <w14:solidFill>
              <w14:schemeClr w14:val="tx1"/>
            </w14:solidFill>
          </w14:textFill>
        </w:rPr>
        <w:t>empathetic</w:t>
      </w:r>
      <w:r>
        <w:rPr>
          <w:rFonts w:hint="default" w:ascii="Arial" w:hAnsi="Arial" w:cs="Arial"/>
          <w:b w:val="0"/>
          <w:bCs w:val="0"/>
          <w:color w:val="000000" w:themeColor="text1"/>
          <w:sz w:val="22"/>
          <w:szCs w:val="22"/>
          <w14:textFill>
            <w14:solidFill>
              <w14:schemeClr w14:val="tx1"/>
            </w14:solidFill>
          </w14:textFill>
        </w:rPr>
        <w:t xml:space="preserve"> attitude towards elderly patients.</w:t>
      </w:r>
    </w:p>
    <w:p w14:paraId="276A950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both"/>
        <w:textAlignment w:val="auto"/>
        <w:rPr>
          <w:rFonts w:hint="default" w:ascii="Arial" w:hAnsi="Arial" w:cs="Arial"/>
          <w:b w:val="0"/>
          <w:bCs w:val="0"/>
          <w:color w:val="000000" w:themeColor="text1"/>
          <w:sz w:val="22"/>
          <w:szCs w:val="22"/>
          <w14:textFill>
            <w14:solidFill>
              <w14:schemeClr w14:val="tx1"/>
            </w14:solidFill>
          </w14:textFill>
        </w:rPr>
      </w:pPr>
      <w:r>
        <w:rPr>
          <w:rStyle w:val="13"/>
          <w:rFonts w:hint="default" w:ascii="Arial" w:hAnsi="Arial" w:cs="Arial"/>
          <w:b/>
          <w:bCs/>
          <w:color w:val="000000" w:themeColor="text1"/>
          <w:sz w:val="22"/>
          <w:szCs w:val="22"/>
          <w14:textFill>
            <w14:solidFill>
              <w14:schemeClr w14:val="tx1"/>
            </w14:solidFill>
          </w14:textFill>
        </w:rPr>
        <w:t>Aim:</w:t>
      </w:r>
      <w:r>
        <w:rPr>
          <w:rStyle w:val="13"/>
          <w:rFonts w:hint="default" w:ascii="Arial" w:hAnsi="Arial" w:cs="Arial"/>
          <w:b/>
          <w:bCs/>
          <w:color w:val="000000" w:themeColor="text1"/>
          <w:sz w:val="22"/>
          <w:szCs w:val="22"/>
          <w:lang w:val="en-US"/>
          <w14:textFill>
            <w14:solidFill>
              <w14:schemeClr w14:val="tx1"/>
            </w14:solidFill>
          </w14:textFill>
        </w:rPr>
        <w:t xml:space="preserve"> </w:t>
      </w:r>
      <w:r>
        <w:rPr>
          <w:rFonts w:hint="default" w:ascii="Arial" w:hAnsi="Arial" w:cs="Arial"/>
          <w:b w:val="0"/>
          <w:bCs w:val="0"/>
          <w:color w:val="000000" w:themeColor="text1"/>
          <w:sz w:val="22"/>
          <w:szCs w:val="22"/>
          <w14:textFill>
            <w14:solidFill>
              <w14:schemeClr w14:val="tx1"/>
            </w14:solidFill>
          </w14:textFill>
        </w:rPr>
        <w:t xml:space="preserve">To examine the perception, attitudes, and preparedness of nursing students from the </w:t>
      </w:r>
      <w:r>
        <w:rPr>
          <w:rFonts w:hint="default" w:ascii="Arial" w:hAnsi="Arial" w:cs="Arial"/>
          <w:b w:val="0"/>
          <w:bCs w:val="0"/>
          <w:color w:val="000000" w:themeColor="text1"/>
          <w:sz w:val="22"/>
          <w:szCs w:val="22"/>
          <w:lang w:val="en-US"/>
          <w14:textFill>
            <w14:solidFill>
              <w14:schemeClr w14:val="tx1"/>
            </w14:solidFill>
          </w14:textFill>
        </w:rPr>
        <w:t>Vocational</w:t>
      </w:r>
      <w:r>
        <w:rPr>
          <w:rFonts w:hint="default" w:ascii="Arial" w:hAnsi="Arial" w:cs="Arial"/>
          <w:b w:val="0"/>
          <w:bCs w:val="0"/>
          <w:color w:val="000000" w:themeColor="text1"/>
          <w:sz w:val="22"/>
          <w:szCs w:val="22"/>
          <w14:textFill>
            <w14:solidFill>
              <w14:schemeClr w14:val="tx1"/>
            </w14:solidFill>
          </w14:textFill>
        </w:rPr>
        <w:t xml:space="preserve"> Medical School at the International Balkan University </w:t>
      </w:r>
      <w:r>
        <w:rPr>
          <w:rFonts w:hint="default" w:ascii="Arial" w:hAnsi="Arial" w:cs="Arial"/>
          <w:b w:val="0"/>
          <w:bCs w:val="0"/>
          <w:color w:val="000000" w:themeColor="text1"/>
          <w:sz w:val="22"/>
          <w:szCs w:val="22"/>
          <w:lang w:val="en-US"/>
          <w14:textFill>
            <w14:solidFill>
              <w14:schemeClr w14:val="tx1"/>
            </w14:solidFill>
          </w14:textFill>
        </w:rPr>
        <w:t xml:space="preserve">Skopje </w:t>
      </w:r>
      <w:r>
        <w:rPr>
          <w:rFonts w:hint="default" w:ascii="Arial" w:hAnsi="Arial" w:cs="Arial"/>
          <w:b w:val="0"/>
          <w:bCs w:val="0"/>
          <w:color w:val="000000" w:themeColor="text1"/>
          <w:sz w:val="22"/>
          <w:szCs w:val="22"/>
          <w14:textFill>
            <w14:solidFill>
              <w14:schemeClr w14:val="tx1"/>
            </w14:solidFill>
          </w14:textFill>
        </w:rPr>
        <w:t>for working with geriatric patients within the scope of palliative care.</w:t>
      </w:r>
    </w:p>
    <w:p w14:paraId="7EEF630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both"/>
        <w:textAlignment w:val="auto"/>
        <w:rPr>
          <w:rFonts w:hint="default" w:ascii="Arial" w:hAnsi="Arial" w:cs="Arial"/>
          <w:b w:val="0"/>
          <w:bCs w:val="0"/>
          <w:color w:val="000000" w:themeColor="text1"/>
          <w:sz w:val="22"/>
          <w:szCs w:val="22"/>
          <w14:textFill>
            <w14:solidFill>
              <w14:schemeClr w14:val="tx1"/>
            </w14:solidFill>
          </w14:textFill>
        </w:rPr>
      </w:pPr>
      <w:r>
        <w:rPr>
          <w:rStyle w:val="13"/>
          <w:rFonts w:hint="default" w:ascii="Arial" w:hAnsi="Arial" w:cs="Arial"/>
          <w:b/>
          <w:bCs/>
          <w:color w:val="000000" w:themeColor="text1"/>
          <w:sz w:val="22"/>
          <w:szCs w:val="22"/>
          <w14:textFill>
            <w14:solidFill>
              <w14:schemeClr w14:val="tx1"/>
            </w14:solidFill>
          </w14:textFill>
        </w:rPr>
        <w:t>Materials and Methods:</w:t>
      </w:r>
      <w:r>
        <w:rPr>
          <w:rStyle w:val="13"/>
          <w:rFonts w:hint="default" w:ascii="Arial" w:hAnsi="Arial" w:cs="Arial"/>
          <w:b/>
          <w:bCs/>
          <w:color w:val="000000" w:themeColor="text1"/>
          <w:sz w:val="22"/>
          <w:szCs w:val="22"/>
          <w:lang w:val="en-US"/>
          <w14:textFill>
            <w14:solidFill>
              <w14:schemeClr w14:val="tx1"/>
            </w14:solidFill>
          </w14:textFill>
        </w:rPr>
        <w:t xml:space="preserve"> </w:t>
      </w:r>
      <w:r>
        <w:rPr>
          <w:rFonts w:hint="default" w:ascii="Arial" w:hAnsi="Arial" w:cs="Arial"/>
          <w:b w:val="0"/>
          <w:bCs w:val="0"/>
          <w:color w:val="000000" w:themeColor="text1"/>
          <w:sz w:val="22"/>
          <w:szCs w:val="22"/>
          <w14:textFill>
            <w14:solidFill>
              <w14:schemeClr w14:val="tx1"/>
            </w14:solidFill>
          </w14:textFill>
        </w:rPr>
        <w:t xml:space="preserve">This research was conducted as a descriptive, cross-sectional study during the period of </w:t>
      </w:r>
      <w:r>
        <w:rPr>
          <w:rFonts w:hint="default" w:ascii="Arial" w:hAnsi="Arial" w:cs="Arial"/>
          <w:b w:val="0"/>
          <w:bCs w:val="0"/>
          <w:color w:val="000000" w:themeColor="text1"/>
          <w:sz w:val="22"/>
          <w:szCs w:val="22"/>
          <w:lang w:val="en-US"/>
          <w14:textFill>
            <w14:solidFill>
              <w14:schemeClr w14:val="tx1"/>
            </w14:solidFill>
          </w14:textFill>
        </w:rPr>
        <w:t>September</w:t>
      </w:r>
      <w:r>
        <w:rPr>
          <w:rFonts w:hint="default" w:ascii="Arial" w:hAnsi="Arial" w:cs="Arial"/>
          <w:b w:val="0"/>
          <w:bCs w:val="0"/>
          <w:color w:val="000000" w:themeColor="text1"/>
          <w:sz w:val="22"/>
          <w:szCs w:val="22"/>
          <w14:textFill>
            <w14:solidFill>
              <w14:schemeClr w14:val="tx1"/>
            </w14:solidFill>
          </w14:textFill>
        </w:rPr>
        <w:t>–</w:t>
      </w:r>
      <w:r>
        <w:rPr>
          <w:rFonts w:hint="default" w:ascii="Arial" w:hAnsi="Arial" w:cs="Arial"/>
          <w:b w:val="0"/>
          <w:bCs w:val="0"/>
          <w:color w:val="000000" w:themeColor="text1"/>
          <w:sz w:val="22"/>
          <w:szCs w:val="22"/>
          <w:lang w:val="en-US"/>
          <w14:textFill>
            <w14:solidFill>
              <w14:schemeClr w14:val="tx1"/>
            </w14:solidFill>
          </w14:textFill>
        </w:rPr>
        <w:t>October</w:t>
      </w:r>
      <w:r>
        <w:rPr>
          <w:rFonts w:hint="default" w:ascii="Arial" w:hAnsi="Arial" w:cs="Arial"/>
          <w:b w:val="0"/>
          <w:bCs w:val="0"/>
          <w:color w:val="000000" w:themeColor="text1"/>
          <w:sz w:val="22"/>
          <w:szCs w:val="22"/>
          <w14:textFill>
            <w14:solidFill>
              <w14:schemeClr w14:val="tx1"/>
            </w14:solidFill>
          </w14:textFill>
        </w:rPr>
        <w:t xml:space="preserve"> 2025. The sample included 60 nursing students from the second and third year of studies. Data were collected using a structured questionnaire consisting of four sections: theoretical knowledge of geriatric and palliative care, attitudes toward aging, emotional preparedness, and self-assessment of communication competencies.</w:t>
      </w:r>
    </w:p>
    <w:p w14:paraId="056B1F0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both"/>
        <w:textAlignment w:val="auto"/>
        <w:rPr>
          <w:rFonts w:hint="default" w:ascii="Arial" w:hAnsi="Arial" w:cs="Arial"/>
          <w:b w:val="0"/>
          <w:bCs w:val="0"/>
          <w:color w:val="000000" w:themeColor="text1"/>
          <w:sz w:val="22"/>
          <w:szCs w:val="22"/>
          <w14:textFill>
            <w14:solidFill>
              <w14:schemeClr w14:val="tx1"/>
            </w14:solidFill>
          </w14:textFill>
        </w:rPr>
      </w:pPr>
      <w:r>
        <w:rPr>
          <w:rStyle w:val="13"/>
          <w:rFonts w:hint="default" w:ascii="Arial" w:hAnsi="Arial" w:cs="Arial"/>
          <w:b/>
          <w:bCs/>
          <w:color w:val="000000" w:themeColor="text1"/>
          <w:sz w:val="22"/>
          <w:szCs w:val="22"/>
          <w14:textFill>
            <w14:solidFill>
              <w14:schemeClr w14:val="tx1"/>
            </w14:solidFill>
          </w14:textFill>
        </w:rPr>
        <w:t>Results:</w:t>
      </w:r>
      <w:r>
        <w:rPr>
          <w:rStyle w:val="13"/>
          <w:rFonts w:hint="default" w:ascii="Arial" w:hAnsi="Arial" w:cs="Arial"/>
          <w:b w:val="0"/>
          <w:bCs w:val="0"/>
          <w:color w:val="000000" w:themeColor="text1"/>
          <w:sz w:val="22"/>
          <w:szCs w:val="22"/>
          <w:lang w:val="en-US"/>
          <w14:textFill>
            <w14:solidFill>
              <w14:schemeClr w14:val="tx1"/>
            </w14:solidFill>
          </w14:textFill>
        </w:rPr>
        <w:t xml:space="preserve"> </w:t>
      </w:r>
      <w:r>
        <w:rPr>
          <w:rFonts w:hint="default" w:ascii="Arial" w:hAnsi="Arial" w:cs="Arial"/>
          <w:b w:val="0"/>
          <w:bCs w:val="0"/>
          <w:color w:val="000000" w:themeColor="text1"/>
          <w:sz w:val="22"/>
          <w:szCs w:val="22"/>
          <w14:textFill>
            <w14:solidFill>
              <w14:schemeClr w14:val="tx1"/>
            </w14:solidFill>
          </w14:textFill>
        </w:rPr>
        <w:t>Preliminary findings revealed that the majority of students expressed a positive attitude toward caring for older adults, yet reported moderate uncertainty when providing palliative care. More than 70% of participants indicated the need for more practical and simulation-based sessions within the nursing curriculum.</w:t>
      </w:r>
    </w:p>
    <w:p w14:paraId="5ED6AF3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both"/>
        <w:textAlignment w:val="auto"/>
        <w:rPr>
          <w:rFonts w:hint="default" w:ascii="Arial" w:hAnsi="Arial" w:cs="Arial"/>
          <w:b w:val="0"/>
          <w:bCs w:val="0"/>
          <w:color w:val="000000" w:themeColor="text1"/>
          <w:sz w:val="22"/>
          <w:szCs w:val="22"/>
          <w14:textFill>
            <w14:solidFill>
              <w14:schemeClr w14:val="tx1"/>
            </w14:solidFill>
          </w14:textFill>
        </w:rPr>
      </w:pPr>
      <w:r>
        <w:rPr>
          <w:rStyle w:val="13"/>
          <w:rFonts w:hint="default" w:ascii="Arial" w:hAnsi="Arial" w:cs="Arial"/>
          <w:b/>
          <w:bCs/>
          <w:color w:val="000000" w:themeColor="text1"/>
          <w:sz w:val="22"/>
          <w:szCs w:val="22"/>
          <w14:textFill>
            <w14:solidFill>
              <w14:schemeClr w14:val="tx1"/>
            </w14:solidFill>
          </w14:textFill>
        </w:rPr>
        <w:t>Conclusion:</w:t>
      </w:r>
      <w:r>
        <w:rPr>
          <w:rStyle w:val="13"/>
          <w:rFonts w:hint="default" w:ascii="Arial" w:hAnsi="Arial" w:cs="Arial"/>
          <w:b/>
          <w:bCs/>
          <w:color w:val="000000" w:themeColor="text1"/>
          <w:sz w:val="22"/>
          <w:szCs w:val="22"/>
          <w:lang w:val="en-US"/>
          <w14:textFill>
            <w14:solidFill>
              <w14:schemeClr w14:val="tx1"/>
            </w14:solidFill>
          </w14:textFill>
        </w:rPr>
        <w:t xml:space="preserve"> </w:t>
      </w:r>
      <w:r>
        <w:rPr>
          <w:rFonts w:hint="default" w:ascii="Arial" w:hAnsi="Arial" w:cs="Arial"/>
          <w:b w:val="0"/>
          <w:bCs w:val="0"/>
          <w:color w:val="000000" w:themeColor="text1"/>
          <w:sz w:val="22"/>
          <w:szCs w:val="22"/>
          <w14:textFill>
            <w14:solidFill>
              <w14:schemeClr w14:val="tx1"/>
            </w14:solidFill>
          </w14:textFill>
        </w:rPr>
        <w:t>The results highlight the necessity of strengthening educational content and practical training related to geriatric and palliative care in nursing programs. Early involvement of students in real and simulated clinical scenarios could significantly enhance professional competence, empathy, and confidence in providing high-quality care to elderly patients.</w:t>
      </w:r>
    </w:p>
    <w:p w14:paraId="79F3A0AF">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both"/>
        <w:textAlignment w:val="auto"/>
        <w:rPr>
          <w:rFonts w:hint="default" w:ascii="Arial" w:hAnsi="Arial" w:cs="Arial"/>
          <w:color w:val="000000" w:themeColor="text1"/>
          <w:sz w:val="22"/>
          <w:szCs w:val="22"/>
          <w14:textFill>
            <w14:solidFill>
              <w14:schemeClr w14:val="tx1"/>
            </w14:solidFill>
          </w14:textFill>
        </w:rPr>
      </w:pPr>
      <w:r>
        <w:rPr>
          <w:rStyle w:val="13"/>
          <w:rFonts w:hint="default" w:ascii="Arial" w:hAnsi="Arial" w:cs="Arial"/>
          <w:color w:val="000000" w:themeColor="text1"/>
          <w:sz w:val="22"/>
          <w:szCs w:val="22"/>
          <w14:textFill>
            <w14:solidFill>
              <w14:schemeClr w14:val="tx1"/>
            </w14:solidFill>
          </w14:textFill>
        </w:rPr>
        <w:t>Keywords:</w:t>
      </w:r>
      <w:r>
        <w:rPr>
          <w:rFonts w:hint="default" w:ascii="Arial" w:hAnsi="Arial" w:cs="Arial"/>
          <w:color w:val="000000" w:themeColor="text1"/>
          <w:sz w:val="22"/>
          <w:szCs w:val="22"/>
          <w14:textFill>
            <w14:solidFill>
              <w14:schemeClr w14:val="tx1"/>
            </w14:solidFill>
          </w14:textFill>
        </w:rPr>
        <w:t xml:space="preserve"> geriatrics, nursing, students, palliative care, education</w:t>
      </w:r>
    </w:p>
    <w:p w14:paraId="5624E834">
      <w:pPr>
        <w:keepNext w:val="0"/>
        <w:keepLines w:val="0"/>
        <w:widowControl/>
        <w:suppressLineNumbers w:val="0"/>
        <w:rPr>
          <w:rFonts w:hint="default" w:ascii="Arial" w:hAnsi="Arial" w:cs="Arial"/>
          <w:color w:val="000000" w:themeColor="text1"/>
          <w:sz w:val="22"/>
          <w:szCs w:val="22"/>
          <w14:textFill>
            <w14:solidFill>
              <w14:schemeClr w14:val="tx1"/>
            </w14:solidFill>
          </w14:textFill>
        </w:rPr>
      </w:pPr>
    </w:p>
    <w:p w14:paraId="094EA7BD">
      <w:pPr>
        <w:numPr>
          <w:ilvl w:val="0"/>
          <w:numId w:val="0"/>
        </w:numPr>
        <w:spacing w:after="0" w:line="360" w:lineRule="auto"/>
        <w:ind w:right="50" w:rightChars="0"/>
        <w:rPr>
          <w:rFonts w:ascii="Arial" w:hAnsi="Arial" w:eastAsia="Times New Roman" w:cs="Arial"/>
          <w:color w:val="231F20"/>
          <w:sz w:val="20"/>
          <w:szCs w:val="20"/>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982"/>
    <w:rsid w:val="000801B4"/>
    <w:rsid w:val="000B2BB6"/>
    <w:rsid w:val="000D3619"/>
    <w:rsid w:val="000F7FC1"/>
    <w:rsid w:val="00123F46"/>
    <w:rsid w:val="001442A4"/>
    <w:rsid w:val="00187A09"/>
    <w:rsid w:val="001A22D6"/>
    <w:rsid w:val="001D6B88"/>
    <w:rsid w:val="001F0BBA"/>
    <w:rsid w:val="0020495A"/>
    <w:rsid w:val="00272434"/>
    <w:rsid w:val="002F077B"/>
    <w:rsid w:val="003639C6"/>
    <w:rsid w:val="00372212"/>
    <w:rsid w:val="003F4578"/>
    <w:rsid w:val="004E4510"/>
    <w:rsid w:val="00585421"/>
    <w:rsid w:val="0059309E"/>
    <w:rsid w:val="005E04DD"/>
    <w:rsid w:val="00607C48"/>
    <w:rsid w:val="00745E8B"/>
    <w:rsid w:val="00750F38"/>
    <w:rsid w:val="008121F2"/>
    <w:rsid w:val="008C5638"/>
    <w:rsid w:val="008E539A"/>
    <w:rsid w:val="009D1982"/>
    <w:rsid w:val="00AB5C5C"/>
    <w:rsid w:val="00B52849"/>
    <w:rsid w:val="00B94D16"/>
    <w:rsid w:val="00BA0CB1"/>
    <w:rsid w:val="00BA4161"/>
    <w:rsid w:val="00BE2FFD"/>
    <w:rsid w:val="00C36825"/>
    <w:rsid w:val="00C4373D"/>
    <w:rsid w:val="00C50845"/>
    <w:rsid w:val="00CA7ADE"/>
    <w:rsid w:val="00CB2950"/>
    <w:rsid w:val="00CB387A"/>
    <w:rsid w:val="00CB542B"/>
    <w:rsid w:val="00CF3007"/>
    <w:rsid w:val="00D164FB"/>
    <w:rsid w:val="00D334CB"/>
    <w:rsid w:val="00D5414B"/>
    <w:rsid w:val="00D57646"/>
    <w:rsid w:val="00D82B08"/>
    <w:rsid w:val="00D91760"/>
    <w:rsid w:val="00DA0913"/>
    <w:rsid w:val="00DD446D"/>
    <w:rsid w:val="00DE6968"/>
    <w:rsid w:val="00E2669E"/>
    <w:rsid w:val="00F723DF"/>
    <w:rsid w:val="00FC6027"/>
    <w:rsid w:val="00FE32CE"/>
    <w:rsid w:val="06C028BA"/>
    <w:rsid w:val="1EB22000"/>
    <w:rsid w:val="362A121F"/>
    <w:rsid w:val="5A564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link w:val="14"/>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basedOn w:val="1"/>
    <w:link w:val="15"/>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20"/>
    <w:rPr>
      <w:i/>
      <w:iCs/>
    </w:rPr>
  </w:style>
  <w:style w:type="character" w:styleId="8">
    <w:name w:val="FollowedHyperlink"/>
    <w:basedOn w:val="5"/>
    <w:semiHidden/>
    <w:unhideWhenUsed/>
    <w:qFormat/>
    <w:uiPriority w:val="99"/>
    <w:rPr>
      <w:color w:val="800080" w:themeColor="followedHyperlink"/>
      <w:u w:val="single"/>
      <w14:textFill>
        <w14:solidFill>
          <w14:schemeClr w14:val="folHlink"/>
        </w14:solidFill>
      </w14:textFill>
    </w:rPr>
  </w:style>
  <w:style w:type="paragraph" w:styleId="9">
    <w:name w:val="footer"/>
    <w:basedOn w:val="1"/>
    <w:link w:val="18"/>
    <w:semiHidden/>
    <w:unhideWhenUsed/>
    <w:qFormat/>
    <w:uiPriority w:val="99"/>
    <w:pPr>
      <w:tabs>
        <w:tab w:val="center" w:pos="4680"/>
        <w:tab w:val="right" w:pos="9360"/>
      </w:tabs>
      <w:spacing w:after="0" w:line="240" w:lineRule="auto"/>
    </w:pPr>
  </w:style>
  <w:style w:type="paragraph" w:styleId="10">
    <w:name w:val="header"/>
    <w:basedOn w:val="1"/>
    <w:link w:val="17"/>
    <w:semiHidden/>
    <w:unhideWhenUsed/>
    <w:qFormat/>
    <w:uiPriority w:val="99"/>
    <w:pPr>
      <w:tabs>
        <w:tab w:val="center" w:pos="4680"/>
        <w:tab w:val="right" w:pos="9360"/>
      </w:tabs>
      <w:spacing w:after="0" w:line="240" w:lineRule="auto"/>
    </w:pPr>
  </w:style>
  <w:style w:type="character" w:styleId="11">
    <w:name w:val="Hyperlink"/>
    <w:basedOn w:val="5"/>
    <w:unhideWhenUsed/>
    <w:qFormat/>
    <w:uiPriority w:val="99"/>
    <w:rPr>
      <w:color w:val="0000FF" w:themeColor="hyperlink"/>
      <w:u w:val="single"/>
      <w14:textFill>
        <w14:solidFill>
          <w14:schemeClr w14:val="hlink"/>
        </w14:solidFill>
      </w14:textFill>
    </w:rPr>
  </w:style>
  <w:style w:type="paragraph" w:styleId="12">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3">
    <w:name w:val="Strong"/>
    <w:basedOn w:val="5"/>
    <w:qFormat/>
    <w:uiPriority w:val="22"/>
    <w:rPr>
      <w:b/>
      <w:bCs/>
    </w:rPr>
  </w:style>
  <w:style w:type="character" w:customStyle="1" w:styleId="14">
    <w:name w:val="Heading 1 Char"/>
    <w:basedOn w:val="5"/>
    <w:link w:val="2"/>
    <w:qFormat/>
    <w:uiPriority w:val="9"/>
    <w:rPr>
      <w:rFonts w:ascii="Times New Roman" w:hAnsi="Times New Roman" w:eastAsia="Times New Roman" w:cs="Times New Roman"/>
      <w:b/>
      <w:bCs/>
      <w:kern w:val="36"/>
      <w:sz w:val="48"/>
      <w:szCs w:val="48"/>
    </w:rPr>
  </w:style>
  <w:style w:type="character" w:customStyle="1" w:styleId="15">
    <w:name w:val="Heading 3 Char"/>
    <w:basedOn w:val="5"/>
    <w:link w:val="4"/>
    <w:qFormat/>
    <w:uiPriority w:val="9"/>
    <w:rPr>
      <w:rFonts w:ascii="Times New Roman" w:hAnsi="Times New Roman" w:eastAsia="Times New Roman" w:cs="Times New Roman"/>
      <w:b/>
      <w:bCs/>
      <w:sz w:val="27"/>
      <w:szCs w:val="27"/>
    </w:rPr>
  </w:style>
  <w:style w:type="paragraph" w:styleId="16">
    <w:name w:val="List Paragraph"/>
    <w:basedOn w:val="1"/>
    <w:qFormat/>
    <w:uiPriority w:val="34"/>
    <w:pPr>
      <w:ind w:left="720"/>
      <w:contextualSpacing/>
    </w:pPr>
  </w:style>
  <w:style w:type="character" w:customStyle="1" w:styleId="17">
    <w:name w:val="Header Char"/>
    <w:basedOn w:val="5"/>
    <w:link w:val="10"/>
    <w:semiHidden/>
    <w:qFormat/>
    <w:uiPriority w:val="99"/>
  </w:style>
  <w:style w:type="character" w:customStyle="1" w:styleId="18">
    <w:name w:val="Footer Char"/>
    <w:basedOn w:val="5"/>
    <w:link w:val="9"/>
    <w:semiHidden/>
    <w:qFormat/>
    <w:uiPriority w:val="99"/>
  </w:style>
  <w:style w:type="character" w:customStyle="1" w:styleId="19">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343</Words>
  <Characters>1958</Characters>
  <Lines>16</Lines>
  <Paragraphs>4</Paragraphs>
  <TotalTime>6</TotalTime>
  <ScaleCrop>false</ScaleCrop>
  <LinksUpToDate>false</LinksUpToDate>
  <CharactersWithSpaces>2297</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2025-07-01T11:57:00Z</dcterms:created>
  <dc:creator>Katerina Damevska</dc:creator>
  <cp:lastModifiedBy>User</cp:lastModifiedBy>
  <cp:lastPrinted>2025-07-24T06:35:00Z</cp:lastPrinted>
  <dcterms:modified xsi:type="dcterms:W3CDTF">2025-10-31T08:25:38Z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68E6CB17F46E40B999D38378DEDAD943_12</vt:lpwstr>
  </property>
</Properties>
</file>