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7A30" w14:textId="0619811D" w:rsidR="00111AB4" w:rsidRPr="00E65901" w:rsidRDefault="005100AD">
      <w:pPr>
        <w:rPr>
          <w:rFonts w:ascii="Arial" w:hAnsi="Arial" w:cs="Arial"/>
          <w:b/>
          <w:bCs/>
          <w:sz w:val="22"/>
          <w:szCs w:val="22"/>
        </w:rPr>
      </w:pPr>
      <w:r w:rsidRPr="00E65901">
        <w:rPr>
          <w:rFonts w:ascii="Arial" w:hAnsi="Arial" w:cs="Arial"/>
          <w:b/>
          <w:bCs/>
          <w:sz w:val="22"/>
          <w:szCs w:val="22"/>
        </w:rPr>
        <w:t xml:space="preserve">Comprehensive geriatric </w:t>
      </w:r>
      <w:proofErr w:type="gramStart"/>
      <w:r w:rsidRPr="00E65901">
        <w:rPr>
          <w:rFonts w:ascii="Arial" w:hAnsi="Arial" w:cs="Arial"/>
          <w:b/>
          <w:bCs/>
          <w:sz w:val="22"/>
          <w:szCs w:val="22"/>
        </w:rPr>
        <w:t>assessment(</w:t>
      </w:r>
      <w:proofErr w:type="gramEnd"/>
      <w:r w:rsidRPr="00E65901">
        <w:rPr>
          <w:rFonts w:ascii="Arial" w:hAnsi="Arial" w:cs="Arial"/>
          <w:b/>
          <w:bCs/>
          <w:sz w:val="22"/>
          <w:szCs w:val="22"/>
        </w:rPr>
        <w:t>CGA)</w:t>
      </w:r>
    </w:p>
    <w:p w14:paraId="555B28FC" w14:textId="086818D0" w:rsidR="005100AD" w:rsidRPr="00E65901" w:rsidRDefault="005100AD">
      <w:pPr>
        <w:rPr>
          <w:rFonts w:ascii="Arial" w:hAnsi="Arial" w:cs="Arial"/>
          <w:sz w:val="22"/>
          <w:szCs w:val="22"/>
        </w:rPr>
      </w:pPr>
      <w:r w:rsidRPr="00E65901">
        <w:rPr>
          <w:rFonts w:ascii="Arial" w:hAnsi="Arial" w:cs="Arial"/>
          <w:sz w:val="22"/>
          <w:szCs w:val="22"/>
        </w:rPr>
        <w:t xml:space="preserve">Pavlinka </w:t>
      </w:r>
      <w:proofErr w:type="spellStart"/>
      <w:r w:rsidRPr="00E65901">
        <w:rPr>
          <w:rFonts w:ascii="Arial" w:hAnsi="Arial" w:cs="Arial"/>
          <w:sz w:val="22"/>
          <w:szCs w:val="22"/>
        </w:rPr>
        <w:t>Milosavljevikj</w:t>
      </w:r>
      <w:proofErr w:type="spellEnd"/>
      <w:r w:rsidRPr="00E65901">
        <w:rPr>
          <w:rFonts w:ascii="Arial" w:hAnsi="Arial" w:cs="Arial"/>
          <w:sz w:val="22"/>
          <w:szCs w:val="22"/>
        </w:rPr>
        <w:t>, PHI Specialized hospital for geriatric and palliative medicine “13 November” Skopje</w:t>
      </w:r>
    </w:p>
    <w:p w14:paraId="572C7C15" w14:textId="00A65261" w:rsidR="005100AD" w:rsidRPr="00E65901" w:rsidRDefault="005100AD">
      <w:pPr>
        <w:rPr>
          <w:rFonts w:ascii="Arial" w:hAnsi="Arial" w:cs="Arial"/>
          <w:b/>
          <w:bCs/>
          <w:sz w:val="22"/>
          <w:szCs w:val="22"/>
        </w:rPr>
      </w:pPr>
      <w:r w:rsidRPr="00E65901">
        <w:rPr>
          <w:rFonts w:ascii="Arial" w:hAnsi="Arial" w:cs="Arial"/>
          <w:b/>
          <w:bCs/>
          <w:sz w:val="22"/>
          <w:szCs w:val="22"/>
        </w:rPr>
        <w:t>Abstract</w:t>
      </w:r>
    </w:p>
    <w:p w14:paraId="5199CF3D" w14:textId="77777777" w:rsidR="006B6B30" w:rsidRPr="006B6B30" w:rsidRDefault="006B6B30" w:rsidP="006B6B30">
      <w:pPr>
        <w:rPr>
          <w:rFonts w:ascii="Arial" w:hAnsi="Arial" w:cs="Arial"/>
          <w:sz w:val="22"/>
          <w:szCs w:val="22"/>
        </w:rPr>
      </w:pPr>
      <w:r w:rsidRPr="006B6B30">
        <w:rPr>
          <w:rFonts w:ascii="Arial" w:hAnsi="Arial" w:cs="Arial"/>
          <w:sz w:val="22"/>
          <w:szCs w:val="22"/>
        </w:rPr>
        <w:t>The Comprehensive Geriatric Assessment (CGA) is an internationally established method for evaluating older adults in clinical practice. It is defined as a multidisciplinary diagnostic and treatment process that identifies the medical, psychosocial, and functional limitations of the frail older person, with the aim of developing a coordinated plan for better health in the aging process.</w:t>
      </w:r>
    </w:p>
    <w:p w14:paraId="14B03ECA" w14:textId="77777777" w:rsidR="006B6B30" w:rsidRPr="006B6B30" w:rsidRDefault="006B6B30" w:rsidP="006B6B30">
      <w:pPr>
        <w:rPr>
          <w:rFonts w:ascii="Arial" w:hAnsi="Arial" w:cs="Arial"/>
          <w:sz w:val="22"/>
          <w:szCs w:val="22"/>
        </w:rPr>
      </w:pPr>
      <w:r w:rsidRPr="006B6B30">
        <w:rPr>
          <w:rFonts w:ascii="Arial" w:hAnsi="Arial" w:cs="Arial"/>
          <w:sz w:val="22"/>
          <w:szCs w:val="22"/>
        </w:rPr>
        <w:t>Health care for older adults extends beyond traditional medical disease management. An assessment of multiple components is required, including physical, cognitive, affective, social, financial, environmental, and spiritual aspects that influence the health of older adults.</w:t>
      </w:r>
    </w:p>
    <w:p w14:paraId="486586E0" w14:textId="77777777" w:rsidR="006B6B30" w:rsidRPr="006B6B30" w:rsidRDefault="006B6B30" w:rsidP="006B6B30">
      <w:pPr>
        <w:rPr>
          <w:rFonts w:ascii="Arial" w:hAnsi="Arial" w:cs="Arial"/>
          <w:sz w:val="22"/>
          <w:szCs w:val="22"/>
        </w:rPr>
      </w:pPr>
      <w:r w:rsidRPr="006B6B30">
        <w:rPr>
          <w:rFonts w:ascii="Arial" w:hAnsi="Arial" w:cs="Arial"/>
          <w:sz w:val="22"/>
          <w:szCs w:val="22"/>
        </w:rPr>
        <w:t>Through systematic evaluation of frail older persons by a team of health professionals, CGA enables the identification of various health problems that can be treated, leading to improved health outcomes.</w:t>
      </w:r>
    </w:p>
    <w:p w14:paraId="79F421C1" w14:textId="77777777" w:rsidR="006B6B30" w:rsidRDefault="006B6B30" w:rsidP="006B6B30">
      <w:pPr>
        <w:rPr>
          <w:rFonts w:ascii="Arial" w:hAnsi="Arial" w:cs="Arial"/>
          <w:sz w:val="22"/>
          <w:szCs w:val="22"/>
        </w:rPr>
      </w:pPr>
      <w:r w:rsidRPr="006B6B30">
        <w:rPr>
          <w:rFonts w:ascii="Arial" w:hAnsi="Arial" w:cs="Arial"/>
          <w:sz w:val="22"/>
          <w:szCs w:val="22"/>
        </w:rPr>
        <w:t>CGA has proven to be an effective tool in improving functional status, preventing institutionalization, and reducing mortality in frail older adults. It allows for the creation of a patient-centered care plan. CGA can be initiated or continued in any setting, from the emergency department or surgical ward to a nursing home: it is no longer a process limited only to the geriatric ward.</w:t>
      </w:r>
    </w:p>
    <w:p w14:paraId="420BB99C" w14:textId="344E7FF6" w:rsidR="00E10110" w:rsidRDefault="00E10110" w:rsidP="006B6B30">
      <w:pPr>
        <w:rPr>
          <w:rFonts w:ascii="Arial" w:hAnsi="Arial" w:cs="Arial"/>
          <w:sz w:val="22"/>
          <w:szCs w:val="22"/>
        </w:rPr>
      </w:pPr>
      <w:r>
        <w:rPr>
          <w:rFonts w:ascii="Arial" w:hAnsi="Arial" w:cs="Arial"/>
          <w:sz w:val="22"/>
          <w:szCs w:val="22"/>
        </w:rPr>
        <w:t>References</w:t>
      </w:r>
    </w:p>
    <w:p w14:paraId="1B68DA09" w14:textId="77777777" w:rsidR="00E10110" w:rsidRPr="0047015B" w:rsidRDefault="00E10110" w:rsidP="00E10110">
      <w:pPr>
        <w:numPr>
          <w:ilvl w:val="0"/>
          <w:numId w:val="2"/>
        </w:numPr>
      </w:pPr>
      <w:r w:rsidRPr="0047015B">
        <w:t xml:space="preserve">British Geriatrics Society. </w:t>
      </w:r>
      <w:r w:rsidRPr="0047015B">
        <w:rPr>
          <w:i/>
          <w:iCs/>
        </w:rPr>
        <w:t>Comprehensive Geriatric Assessment Toolkit for Primary Care Practitioners</w:t>
      </w:r>
      <w:r w:rsidRPr="0047015B">
        <w:t xml:space="preserve">. 2019. </w:t>
      </w:r>
      <w:hyperlink r:id="rId5" w:tgtFrame="_blank" w:history="1">
        <w:r w:rsidRPr="0047015B">
          <w:rPr>
            <w:rStyle w:val="Hyperlink"/>
          </w:rPr>
          <w:t>British Geological Survey+2British Geological Survey+2</w:t>
        </w:r>
      </w:hyperlink>
    </w:p>
    <w:p w14:paraId="2081438B" w14:textId="77777777" w:rsidR="00E10110" w:rsidRPr="0047015B" w:rsidRDefault="00E10110" w:rsidP="00E10110">
      <w:pPr>
        <w:numPr>
          <w:ilvl w:val="0"/>
          <w:numId w:val="2"/>
        </w:numPr>
      </w:pPr>
      <w:r w:rsidRPr="0047015B">
        <w:t xml:space="preserve">Garrard JW, Cox NJ, Dodds RM, et al. “Comprehensive geriatric assessment in primary care: a systematic review.” </w:t>
      </w:r>
      <w:r w:rsidRPr="0047015B">
        <w:rPr>
          <w:i/>
          <w:iCs/>
        </w:rPr>
        <w:t>Aging Clinical and Experimental Research.</w:t>
      </w:r>
      <w:r w:rsidRPr="0047015B">
        <w:t xml:space="preserve"> 32:197-205 (2020). DOI:10.1007/s40520-019-01183-w. </w:t>
      </w:r>
      <w:hyperlink r:id="rId6" w:tgtFrame="_blank" w:history="1">
        <w:r w:rsidRPr="0047015B">
          <w:rPr>
            <w:rStyle w:val="Hyperlink"/>
          </w:rPr>
          <w:t>link.springer.com+1</w:t>
        </w:r>
      </w:hyperlink>
    </w:p>
    <w:p w14:paraId="1A08EEC9" w14:textId="77777777" w:rsidR="00E10110" w:rsidRPr="0047015B" w:rsidRDefault="00E10110" w:rsidP="00E10110">
      <w:pPr>
        <w:numPr>
          <w:ilvl w:val="0"/>
          <w:numId w:val="2"/>
        </w:numPr>
      </w:pPr>
      <w:r w:rsidRPr="0047015B">
        <w:t xml:space="preserve">Chen Z, Ding Z, Chen C, et al. “Effectiveness of comprehensive geriatric assessment intervention on quality of life, caregiver burden and length of hospital stay: a systematic review and meta-analysis of </w:t>
      </w:r>
      <w:proofErr w:type="spellStart"/>
      <w:r w:rsidRPr="0047015B">
        <w:t>randomised</w:t>
      </w:r>
      <w:proofErr w:type="spellEnd"/>
      <w:r w:rsidRPr="0047015B">
        <w:t xml:space="preserve"> controlled trials.” </w:t>
      </w:r>
      <w:r w:rsidRPr="0047015B">
        <w:rPr>
          <w:i/>
          <w:iCs/>
        </w:rPr>
        <w:t>BMC Geriatrics.</w:t>
      </w:r>
      <w:r w:rsidRPr="0047015B">
        <w:t xml:space="preserve"> 21:377 (2021). </w:t>
      </w:r>
      <w:hyperlink r:id="rId7" w:tgtFrame="_blank" w:history="1">
        <w:r w:rsidRPr="0047015B">
          <w:rPr>
            <w:rStyle w:val="Hyperlink"/>
          </w:rPr>
          <w:t>BioMed Central+1</w:t>
        </w:r>
      </w:hyperlink>
    </w:p>
    <w:p w14:paraId="79CD8F62" w14:textId="77777777" w:rsidR="005100AD" w:rsidRDefault="005100AD"/>
    <w:sectPr w:rsidR="00510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5C19"/>
    <w:multiLevelType w:val="multilevel"/>
    <w:tmpl w:val="E880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B4F4C"/>
    <w:multiLevelType w:val="multilevel"/>
    <w:tmpl w:val="A5E6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453414">
    <w:abstractNumId w:val="0"/>
  </w:num>
  <w:num w:numId="2" w16cid:durableId="73867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AD"/>
    <w:rsid w:val="00111AB4"/>
    <w:rsid w:val="0014632D"/>
    <w:rsid w:val="003E06DD"/>
    <w:rsid w:val="003F0C3B"/>
    <w:rsid w:val="00454D9F"/>
    <w:rsid w:val="005100AD"/>
    <w:rsid w:val="006B6B30"/>
    <w:rsid w:val="0071422F"/>
    <w:rsid w:val="00746653"/>
    <w:rsid w:val="007B20A8"/>
    <w:rsid w:val="00845FAA"/>
    <w:rsid w:val="00B91AAF"/>
    <w:rsid w:val="00BC7CF5"/>
    <w:rsid w:val="00C76FCE"/>
    <w:rsid w:val="00E05CAF"/>
    <w:rsid w:val="00E10110"/>
    <w:rsid w:val="00E65901"/>
    <w:rsid w:val="00F42391"/>
    <w:rsid w:val="00FC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F09E"/>
  <w15:chartTrackingRefBased/>
  <w15:docId w15:val="{362BEFE9-C907-487D-80DA-2ED7E98A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0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0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0AD"/>
    <w:rPr>
      <w:rFonts w:eastAsiaTheme="majorEastAsia" w:cstheme="majorBidi"/>
      <w:color w:val="272727" w:themeColor="text1" w:themeTint="D8"/>
    </w:rPr>
  </w:style>
  <w:style w:type="paragraph" w:styleId="Title">
    <w:name w:val="Title"/>
    <w:basedOn w:val="Normal"/>
    <w:next w:val="Normal"/>
    <w:link w:val="TitleChar"/>
    <w:uiPriority w:val="10"/>
    <w:qFormat/>
    <w:rsid w:val="00510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0AD"/>
    <w:pPr>
      <w:spacing w:before="160"/>
      <w:jc w:val="center"/>
    </w:pPr>
    <w:rPr>
      <w:i/>
      <w:iCs/>
      <w:color w:val="404040" w:themeColor="text1" w:themeTint="BF"/>
    </w:rPr>
  </w:style>
  <w:style w:type="character" w:customStyle="1" w:styleId="QuoteChar">
    <w:name w:val="Quote Char"/>
    <w:basedOn w:val="DefaultParagraphFont"/>
    <w:link w:val="Quote"/>
    <w:uiPriority w:val="29"/>
    <w:rsid w:val="005100AD"/>
    <w:rPr>
      <w:i/>
      <w:iCs/>
      <w:color w:val="404040" w:themeColor="text1" w:themeTint="BF"/>
    </w:rPr>
  </w:style>
  <w:style w:type="paragraph" w:styleId="ListParagraph">
    <w:name w:val="List Paragraph"/>
    <w:basedOn w:val="Normal"/>
    <w:uiPriority w:val="34"/>
    <w:qFormat/>
    <w:rsid w:val="005100AD"/>
    <w:pPr>
      <w:ind w:left="720"/>
      <w:contextualSpacing/>
    </w:pPr>
  </w:style>
  <w:style w:type="character" w:styleId="IntenseEmphasis">
    <w:name w:val="Intense Emphasis"/>
    <w:basedOn w:val="DefaultParagraphFont"/>
    <w:uiPriority w:val="21"/>
    <w:qFormat/>
    <w:rsid w:val="005100AD"/>
    <w:rPr>
      <w:i/>
      <w:iCs/>
      <w:color w:val="2F5496" w:themeColor="accent1" w:themeShade="BF"/>
    </w:rPr>
  </w:style>
  <w:style w:type="paragraph" w:styleId="IntenseQuote">
    <w:name w:val="Intense Quote"/>
    <w:basedOn w:val="Normal"/>
    <w:next w:val="Normal"/>
    <w:link w:val="IntenseQuoteChar"/>
    <w:uiPriority w:val="30"/>
    <w:qFormat/>
    <w:rsid w:val="00510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0AD"/>
    <w:rPr>
      <w:i/>
      <w:iCs/>
      <w:color w:val="2F5496" w:themeColor="accent1" w:themeShade="BF"/>
    </w:rPr>
  </w:style>
  <w:style w:type="character" w:styleId="IntenseReference">
    <w:name w:val="Intense Reference"/>
    <w:basedOn w:val="DefaultParagraphFont"/>
    <w:uiPriority w:val="32"/>
    <w:qFormat/>
    <w:rsid w:val="005100AD"/>
    <w:rPr>
      <w:b/>
      <w:bCs/>
      <w:smallCaps/>
      <w:color w:val="2F5496" w:themeColor="accent1" w:themeShade="BF"/>
      <w:spacing w:val="5"/>
    </w:rPr>
  </w:style>
  <w:style w:type="character" w:styleId="Hyperlink">
    <w:name w:val="Hyperlink"/>
    <w:basedOn w:val="DefaultParagraphFont"/>
    <w:uiPriority w:val="99"/>
    <w:unhideWhenUsed/>
    <w:rsid w:val="00E10110"/>
    <w:rPr>
      <w:color w:val="0563C1" w:themeColor="hyperlink"/>
      <w:u w:val="single"/>
    </w:rPr>
  </w:style>
  <w:style w:type="character" w:styleId="UnresolvedMention">
    <w:name w:val="Unresolved Mention"/>
    <w:basedOn w:val="DefaultParagraphFont"/>
    <w:uiPriority w:val="99"/>
    <w:semiHidden/>
    <w:unhideWhenUsed/>
    <w:rsid w:val="00E10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mcgeriatr.biomedcentral.com/articles/10.1186/s12877-021-02319-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40520-019-01183-w?utm_source=chatgpt.com" TargetMode="External"/><Relationship Id="rId5" Type="http://schemas.openxmlformats.org/officeDocument/2006/relationships/hyperlink" Target="https://www.bgs.org.uk/resources/resource-series/comprehensive-geriatric-assessment-toolkit-for-primary-care-practitioners?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Pavlinka Milosavljevic</dc:creator>
  <cp:keywords/>
  <dc:description/>
  <cp:lastModifiedBy>Pavlinka Milosavljevic</cp:lastModifiedBy>
  <cp:revision>17</cp:revision>
  <dcterms:created xsi:type="dcterms:W3CDTF">2025-09-28T18:11:00Z</dcterms:created>
  <dcterms:modified xsi:type="dcterms:W3CDTF">2025-10-28T10:02:00Z</dcterms:modified>
</cp:coreProperties>
</file>